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7E2578F1"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C66091" w:rsidRPr="00AB62D4">
              <w:rPr>
                <w:rFonts w:ascii="Aptos" w:hAnsi="Aptos" w:cstheme="minorHAnsi"/>
                <w:noProof/>
              </w:rPr>
              <w:t>October 9</w:t>
            </w:r>
            <w:r w:rsidR="005220D9" w:rsidRPr="00AB62D4">
              <w:rPr>
                <w:rFonts w:ascii="Aptos" w:hAnsi="Aptos" w:cstheme="minorHAnsi"/>
                <w:noProof/>
              </w:rPr>
              <w:t>th</w:t>
            </w:r>
            <w:r w:rsidR="00833397" w:rsidRPr="00AB62D4">
              <w:rPr>
                <w:rFonts w:ascii="Aptos" w:hAnsi="Aptos" w:cstheme="minorHAnsi"/>
                <w:noProof/>
              </w:rPr>
              <w:t>, 202</w:t>
            </w:r>
            <w:r w:rsidRPr="00AB62D4">
              <w:rPr>
                <w:rFonts w:ascii="Aptos" w:hAnsi="Aptos" w:cstheme="minorHAnsi"/>
                <w:noProof/>
              </w:rPr>
              <w:t>4</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39386FDD"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1762CC"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Rebecca Hill</w:t>
            </w:r>
            <w:r w:rsidR="004256B4"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973B9D" w:rsidRPr="00AB62D4">
              <w:rPr>
                <w:rFonts w:ascii="Aptos" w:hAnsi="Aptos" w:cstheme="minorHAnsi"/>
                <w:sz w:val="22"/>
                <w:szCs w:val="22"/>
              </w:rPr>
              <w:t xml:space="preserve"> </w:t>
            </w:r>
            <w:r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Pr="00AB62D4">
              <w:rPr>
                <w:rFonts w:ascii="Aptos" w:hAnsi="Aptos" w:cstheme="minorHAnsi"/>
                <w:sz w:val="22"/>
                <w:szCs w:val="22"/>
              </w:rPr>
              <w:fldChar w:fldCharType="begin">
                <w:ffData>
                  <w:name w:val=""/>
                  <w:enabled/>
                  <w:calcOnExit w:val="0"/>
                  <w:checkBox>
                    <w:sizeAuto/>
                    <w:default w:val="0"/>
                  </w:checkBox>
                </w:ffData>
              </w:fldChar>
            </w:r>
            <w:r w:rsidRPr="00AB62D4">
              <w:rPr>
                <w:rFonts w:ascii="Aptos" w:hAnsi="Aptos" w:cstheme="minorHAnsi"/>
                <w:sz w:val="22"/>
                <w:szCs w:val="22"/>
              </w:rPr>
              <w:instrText xml:space="preserve"> FORMCHECKBOX </w:instrText>
            </w:r>
            <w:r w:rsidRPr="00AB62D4">
              <w:rPr>
                <w:rFonts w:ascii="Aptos" w:hAnsi="Aptos" w:cstheme="minorHAnsi"/>
                <w:sz w:val="22"/>
                <w:szCs w:val="22"/>
              </w:rPr>
            </w:r>
            <w:r w:rsidRPr="00AB62D4">
              <w:rPr>
                <w:rFonts w:ascii="Aptos" w:hAnsi="Aptos" w:cstheme="minorHAnsi"/>
                <w:sz w:val="22"/>
                <w:szCs w:val="22"/>
              </w:rPr>
              <w:fldChar w:fldCharType="separate"/>
            </w:r>
            <w:r w:rsidRPr="00AB62D4">
              <w:rPr>
                <w:rFonts w:ascii="Aptos" w:hAnsi="Aptos" w:cstheme="minorHAnsi"/>
                <w:sz w:val="22"/>
                <w:szCs w:val="22"/>
              </w:rPr>
              <w:fldChar w:fldCharType="end"/>
            </w:r>
            <w:r w:rsidRPr="00AB62D4">
              <w:rPr>
                <w:rFonts w:ascii="Aptos" w:hAnsi="Aptos" w:cstheme="minorHAnsi"/>
                <w:sz w:val="22"/>
                <w:szCs w:val="22"/>
              </w:rPr>
              <w:t xml:space="preserve"> Beth Hill           </w:t>
            </w:r>
            <w:r w:rsidR="00367731"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 xml:space="preserve">Daniel </w:t>
            </w:r>
            <w:proofErr w:type="spellStart"/>
            <w:r w:rsidR="00367731" w:rsidRPr="00AB62D4">
              <w:rPr>
                <w:rFonts w:ascii="Aptos" w:hAnsi="Aptos" w:cstheme="minorHAnsi"/>
                <w:sz w:val="22"/>
                <w:szCs w:val="22"/>
              </w:rPr>
              <w:t>Atsbaha</w:t>
            </w:r>
            <w:proofErr w:type="spellEnd"/>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p>
          <w:p w14:paraId="1F89B522" w14:textId="45283ED6"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Trisha McGowan</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537D18" w:rsidRPr="00AB62D4">
              <w:rPr>
                <w:rFonts w:ascii="Aptos" w:hAnsi="Aptos" w:cstheme="minorHAnsi"/>
                <w:sz w:val="22"/>
                <w:szCs w:val="22"/>
              </w:rPr>
              <w:t xml:space="preserve">Sherry Miotke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3BE27180"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proofErr w:type="gramStart"/>
            <w:r w:rsidRPr="00AB62D4">
              <w:rPr>
                <w:rFonts w:ascii="Aptos" w:hAnsi="Aptos" w:cstheme="minorHAnsi"/>
                <w:b/>
                <w:bCs/>
                <w:i/>
                <w:iCs/>
                <w:color w:val="353838"/>
                <w:sz w:val="20"/>
                <w:szCs w:val="20"/>
              </w:rPr>
              <w:t>:  Create</w:t>
            </w:r>
            <w:proofErr w:type="gramEnd"/>
            <w:r w:rsidRPr="00AB62D4">
              <w:rPr>
                <w:rFonts w:ascii="Aptos" w:hAnsi="Aptos" w:cstheme="minorHAnsi"/>
                <w:b/>
                <w:bCs/>
                <w:i/>
                <w:iCs/>
                <w:color w:val="353838"/>
                <w:sz w:val="20"/>
                <w:szCs w:val="20"/>
              </w:rPr>
              <w:t xml:space="preserv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proofErr w:type="gramStart"/>
            <w:r w:rsidRPr="00AB62D4">
              <w:rPr>
                <w:rFonts w:ascii="Aptos" w:hAnsi="Aptos" w:cstheme="minorHAnsi"/>
                <w:b/>
                <w:bCs/>
                <w:color w:val="353838"/>
                <w:sz w:val="20"/>
                <w:szCs w:val="20"/>
              </w:rPr>
              <w:t>:</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The</w:t>
            </w:r>
            <w:proofErr w:type="gramEnd"/>
            <w:r w:rsidRPr="00AB62D4">
              <w:rPr>
                <w:rFonts w:ascii="Aptos" w:hAnsi="Aptos" w:cstheme="minorHAnsi"/>
                <w:b/>
                <w:bCs/>
                <w:i/>
                <w:iCs/>
                <w:color w:val="353838"/>
                <w:sz w:val="20"/>
                <w:szCs w:val="20"/>
              </w:rPr>
              <w:t xml:space="preserv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166C118D"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4F009C">
              <w:rPr>
                <w:rFonts w:ascii="Aptos" w:hAnsi="Aptos"/>
                <w:u w:val="single"/>
              </w:rPr>
              <w:t>October 9th</w:t>
            </w:r>
            <w:r w:rsidR="007A762C" w:rsidRPr="00AB62D4">
              <w:rPr>
                <w:rFonts w:ascii="Aptos" w:hAnsi="Aptos"/>
                <w:u w:val="single"/>
              </w:rPr>
              <w:t>, 2024</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proofErr w:type="gramStart"/>
            <w:r w:rsidRPr="00AB62D4">
              <w:rPr>
                <w:rFonts w:ascii="Aptos" w:hAnsi="Aptos"/>
                <w:bCs/>
              </w:rPr>
              <w:t>Introductions</w:t>
            </w:r>
            <w:proofErr w:type="gramEnd"/>
            <w:r w:rsidRPr="00AB62D4">
              <w:rPr>
                <w:rFonts w:ascii="Aptos" w:hAnsi="Aptos"/>
                <w:bCs/>
              </w:rPr>
              <w:t xml:space="preserve">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 xml:space="preserve">(requiring </w:t>
            </w:r>
            <w:proofErr w:type="gramStart"/>
            <w:r w:rsidRPr="00AB62D4">
              <w:rPr>
                <w:rFonts w:ascii="Aptos" w:hAnsi="Aptos"/>
                <w:bCs/>
                <w:sz w:val="22"/>
                <w:szCs w:val="22"/>
              </w:rPr>
              <w:t>vote</w:t>
            </w:r>
            <w:proofErr w:type="gramEnd"/>
            <w:r w:rsidRPr="00AB62D4">
              <w:rPr>
                <w:rFonts w:ascii="Aptos" w:hAnsi="Aptos"/>
                <w:bCs/>
                <w:sz w:val="22"/>
                <w:szCs w:val="22"/>
              </w:rPr>
              <w:t xml:space="preserve"> or decisions)</w:t>
            </w:r>
          </w:p>
        </w:tc>
        <w:tc>
          <w:tcPr>
            <w:tcW w:w="7897" w:type="dxa"/>
            <w:tcBorders>
              <w:top w:val="single" w:sz="4" w:space="0" w:color="auto"/>
              <w:bottom w:val="single" w:sz="4" w:space="0" w:color="auto"/>
            </w:tcBorders>
            <w:vAlign w:val="center"/>
          </w:tcPr>
          <w:p w14:paraId="4CE354AB" w14:textId="67BD02C4" w:rsidR="0026647A" w:rsidRPr="00AB62D4" w:rsidRDefault="0026647A" w:rsidP="00D54641">
            <w:pPr>
              <w:spacing w:before="120"/>
              <w:jc w:val="both"/>
              <w:rPr>
                <w:rFonts w:ascii="Aptos" w:hAnsi="Aptos"/>
              </w:rPr>
            </w:pP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78B8AAEE"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72439D" w:rsidRPr="00AB62D4">
              <w:rPr>
                <w:rFonts w:ascii="Aptos" w:hAnsi="Aptos"/>
              </w:rPr>
              <w:t xml:space="preserve">Program Updates </w:t>
            </w:r>
            <w:r w:rsidR="00C211A6" w:rsidRPr="00AB62D4">
              <w:rPr>
                <w:rFonts w:ascii="Aptos" w:hAnsi="Aptos"/>
              </w:rPr>
              <w:br/>
            </w:r>
            <w:r w:rsidRPr="00AB62D4">
              <w:rPr>
                <w:rFonts w:ascii="Aptos" w:hAnsi="Aptos" w:cstheme="minorHAnsi"/>
              </w:rPr>
              <w:t xml:space="preserve">                              Substantiated AAI Claims – Karin</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3A2AB295" w14:textId="77777777" w:rsidR="0072439D" w:rsidRPr="00AB62D4" w:rsidRDefault="0026647A" w:rsidP="00C211A6">
            <w:pPr>
              <w:pStyle w:val="ListParagraph"/>
              <w:tabs>
                <w:tab w:val="left" w:pos="-720"/>
              </w:tabs>
              <w:spacing w:line="276" w:lineRule="auto"/>
              <w:ind w:left="1440"/>
              <w:rPr>
                <w:rFonts w:ascii="Aptos" w:hAnsi="Aptos"/>
              </w:rPr>
            </w:pPr>
            <w:r w:rsidRPr="00AB62D4">
              <w:rPr>
                <w:rFonts w:ascii="Aptos" w:hAnsi="Aptos"/>
              </w:rPr>
              <w:t>IDD Awareness Month</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r w:rsidR="0072439D" w:rsidRPr="00AB62D4"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B62D4" w:rsidRDefault="0072439D" w:rsidP="007243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23A1E6CD" w14:textId="1E11168B"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57BBFB30"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 xml:space="preserve">Wednesday, </w:t>
      </w:r>
      <w:r w:rsidR="00AB62D4">
        <w:rPr>
          <w:rFonts w:ascii="Aptos" w:hAnsi="Aptos" w:cstheme="minorHAnsi"/>
          <w:b/>
          <w:i/>
        </w:rPr>
        <w:t>November</w:t>
      </w:r>
      <w:r w:rsidR="00A63E52" w:rsidRPr="00AB62D4">
        <w:rPr>
          <w:rFonts w:ascii="Aptos" w:hAnsi="Aptos" w:cstheme="minorHAnsi"/>
          <w:b/>
          <w:i/>
        </w:rPr>
        <w:t xml:space="preserve"> </w:t>
      </w:r>
      <w:r w:rsidR="007A762C" w:rsidRPr="00AB62D4">
        <w:rPr>
          <w:rFonts w:ascii="Aptos" w:hAnsi="Aptos" w:cstheme="minorHAnsi"/>
          <w:b/>
          <w:i/>
        </w:rPr>
        <w:t>1</w:t>
      </w:r>
      <w:r w:rsidR="00AB62D4">
        <w:rPr>
          <w:rFonts w:ascii="Aptos" w:hAnsi="Aptos" w:cstheme="minorHAnsi"/>
          <w:b/>
          <w:i/>
        </w:rPr>
        <w:t>3</w:t>
      </w:r>
      <w:r w:rsidR="00A63E52" w:rsidRPr="00AB62D4">
        <w:rPr>
          <w:rFonts w:ascii="Aptos" w:hAnsi="Aptos" w:cstheme="minorHAnsi"/>
          <w:b/>
          <w:i/>
        </w:rPr>
        <w:t>th</w:t>
      </w:r>
      <w:r w:rsidR="005220D9" w:rsidRPr="00AB62D4">
        <w:rPr>
          <w:rFonts w:ascii="Aptos" w:hAnsi="Aptos" w:cstheme="minorHAnsi"/>
          <w:b/>
          <w:i/>
        </w:rPr>
        <w:t>, 2024</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40809" w14:textId="77777777" w:rsidR="009043B1" w:rsidRDefault="009043B1">
      <w:r>
        <w:separator/>
      </w:r>
    </w:p>
  </w:endnote>
  <w:endnote w:type="continuationSeparator" w:id="0">
    <w:p w14:paraId="220D366C" w14:textId="77777777" w:rsidR="009043B1" w:rsidRDefault="009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4779" w14:textId="77777777" w:rsidR="009043B1" w:rsidRDefault="009043B1">
      <w:r>
        <w:separator/>
      </w:r>
    </w:p>
  </w:footnote>
  <w:footnote w:type="continuationSeparator" w:id="0">
    <w:p w14:paraId="14A45E25" w14:textId="77777777" w:rsidR="009043B1" w:rsidRDefault="0090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C34B728"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E66A9"/>
    <w:rsid w:val="005F2B62"/>
    <w:rsid w:val="005F33FC"/>
    <w:rsid w:val="005F6F6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364"/>
    <w:rsid w:val="008F74E5"/>
    <w:rsid w:val="009008CA"/>
    <w:rsid w:val="00902D58"/>
    <w:rsid w:val="009043B1"/>
    <w:rsid w:val="00907B9F"/>
    <w:rsid w:val="00910857"/>
    <w:rsid w:val="00911384"/>
    <w:rsid w:val="009244D9"/>
    <w:rsid w:val="009261FE"/>
    <w:rsid w:val="009301FE"/>
    <w:rsid w:val="00933BB6"/>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2E7C"/>
    <w:rsid w:val="00B27DDD"/>
    <w:rsid w:val="00B336DE"/>
    <w:rsid w:val="00B34673"/>
    <w:rsid w:val="00B37387"/>
    <w:rsid w:val="00B37AB4"/>
    <w:rsid w:val="00B37DCB"/>
    <w:rsid w:val="00B37F4D"/>
    <w:rsid w:val="00B43405"/>
    <w:rsid w:val="00B4591F"/>
    <w:rsid w:val="00B51EFA"/>
    <w:rsid w:val="00B535B7"/>
    <w:rsid w:val="00B63E79"/>
    <w:rsid w:val="00B64D8E"/>
    <w:rsid w:val="00B668AF"/>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ABD8F5BE-C7DA-4BCE-A578-BDECDA0FD89F}"/>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October 2024 Agenda</dc:title>
  <dc:creator>lschwarz</dc:creator>
  <cp:lastModifiedBy>Melissa Gable</cp:lastModifiedBy>
  <cp:revision>2</cp:revision>
  <cp:lastPrinted>2022-01-18T17:02:00Z</cp:lastPrinted>
  <dcterms:created xsi:type="dcterms:W3CDTF">2025-02-27T20:59:00Z</dcterms:created>
  <dcterms:modified xsi:type="dcterms:W3CDTF">2025-02-27T20:59:00Z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